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Look w:val="04A0" w:firstRow="1" w:lastRow="0" w:firstColumn="1" w:lastColumn="0" w:noHBand="0" w:noVBand="1"/>
      </w:tblPr>
      <w:tblGrid>
        <w:gridCol w:w="10490"/>
      </w:tblGrid>
      <w:tr w:rsidR="007D653C" w:rsidRPr="004D5E36" w:rsidTr="00CD7C77">
        <w:trPr>
          <w:trHeight w:val="340"/>
        </w:trPr>
        <w:tc>
          <w:tcPr>
            <w:tcW w:w="10490" w:type="dxa"/>
            <w:shd w:val="clear" w:color="auto" w:fill="B2A1C7"/>
          </w:tcPr>
          <w:p w:rsidR="007D653C" w:rsidRPr="004D5E36" w:rsidRDefault="004D5E36" w:rsidP="006B67C4">
            <w:pPr>
              <w:pStyle w:val="NWCHeading"/>
            </w:pPr>
            <w:r w:rsidRPr="004D5E36">
              <w:rPr>
                <w:noProof/>
                <w:lang w:eastAsia="en-GB"/>
              </w:rPr>
              <w:drawing>
                <wp:anchor distT="0" distB="0" distL="114300" distR="114300" simplePos="0" relativeHeight="251658240" behindDoc="1" locked="0" layoutInCell="1" allowOverlap="1">
                  <wp:simplePos x="0" y="0"/>
                  <wp:positionH relativeFrom="margin">
                    <wp:posOffset>5306060</wp:posOffset>
                  </wp:positionH>
                  <wp:positionV relativeFrom="margin">
                    <wp:posOffset>47625</wp:posOffset>
                  </wp:positionV>
                  <wp:extent cx="1198880" cy="347980"/>
                  <wp:effectExtent l="0" t="0" r="1270" b="0"/>
                  <wp:wrapTight wrapText="bothSides">
                    <wp:wrapPolygon edited="0">
                      <wp:start x="1030" y="0"/>
                      <wp:lineTo x="0" y="20102"/>
                      <wp:lineTo x="18191" y="20102"/>
                      <wp:lineTo x="18191" y="18920"/>
                      <wp:lineTo x="21280" y="14190"/>
                      <wp:lineTo x="21280" y="0"/>
                      <wp:lineTo x="16131" y="0"/>
                      <wp:lineTo x="10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 transparent.png"/>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98880" cy="347980"/>
                          </a:xfrm>
                          <a:prstGeom prst="rect">
                            <a:avLst/>
                          </a:prstGeom>
                        </pic:spPr>
                      </pic:pic>
                    </a:graphicData>
                  </a:graphic>
                </wp:anchor>
              </w:drawing>
            </w:r>
            <w:r w:rsidR="00EC7457">
              <w:t xml:space="preserve">Complaints </w:t>
            </w:r>
            <w:r w:rsidR="00FA4A2E">
              <w:t>Procedure</w:t>
            </w:r>
          </w:p>
        </w:tc>
      </w:tr>
      <w:tr w:rsidR="00C00C40" w:rsidRPr="00FB1D7E" w:rsidTr="00C00C40">
        <w:trPr>
          <w:trHeight w:val="340"/>
        </w:trPr>
        <w:tc>
          <w:tcPr>
            <w:tcW w:w="10490" w:type="dxa"/>
            <w:shd w:val="clear" w:color="auto" w:fill="auto"/>
          </w:tcPr>
          <w:p w:rsidR="00C00C40" w:rsidRDefault="00EC7457" w:rsidP="00B36BA7">
            <w:pPr>
              <w:pStyle w:val="NWCBody"/>
              <w:jc w:val="both"/>
            </w:pPr>
            <w:r w:rsidRPr="00EC7457">
              <w:t xml:space="preserve">We aim to provide a high standard of service for all our users. If you are not totally satisfied, then we also are not satisfied and will endeavour to do all we can to rectify this. Nottingham Women’s Centre feels it is essential that users of our services do have a clear, effective and easily understandable procedure through which any complaints can be dealt with. We see this as a </w:t>
            </w:r>
            <w:r w:rsidRPr="00EC7457">
              <w:rPr>
                <w:b/>
              </w:rPr>
              <w:t>positive step to ensure continuous improvement in our services and will always be welcomed</w:t>
            </w:r>
            <w:r w:rsidRPr="00EC7457">
              <w:t>.</w:t>
            </w:r>
          </w:p>
          <w:p w:rsidR="00EC7457" w:rsidRDefault="00EC7457" w:rsidP="00EC7457">
            <w:pPr>
              <w:pStyle w:val="NWCBody"/>
              <w:jc w:val="both"/>
            </w:pPr>
            <w:r>
              <w:t>The following general principles will be followed by all members of Nottingham Women’s Centre:</w:t>
            </w:r>
          </w:p>
          <w:p w:rsidR="00EC7457" w:rsidRDefault="00EC7457" w:rsidP="00EC7457">
            <w:pPr>
              <w:pStyle w:val="NWCBody"/>
              <w:numPr>
                <w:ilvl w:val="0"/>
                <w:numId w:val="33"/>
              </w:numPr>
              <w:jc w:val="both"/>
            </w:pPr>
            <w:r>
              <w:t>Nottingham Women’s Centre staff will not be defensive when complaints are made.</w:t>
            </w:r>
          </w:p>
          <w:p w:rsidR="00EC7457" w:rsidRDefault="00EC7457" w:rsidP="00EC7457">
            <w:pPr>
              <w:pStyle w:val="NWCBody"/>
              <w:numPr>
                <w:ilvl w:val="0"/>
                <w:numId w:val="33"/>
              </w:numPr>
              <w:jc w:val="both"/>
            </w:pPr>
            <w:r>
              <w:t>We will listen and we do care.</w:t>
            </w:r>
          </w:p>
          <w:p w:rsidR="00EC7457" w:rsidRDefault="00EC7457" w:rsidP="00EC7457">
            <w:pPr>
              <w:pStyle w:val="NWCBody"/>
              <w:numPr>
                <w:ilvl w:val="0"/>
                <w:numId w:val="33"/>
              </w:numPr>
              <w:jc w:val="both"/>
            </w:pPr>
            <w:r>
              <w:t>We will ensure complete confidentiality at all times.</w:t>
            </w:r>
          </w:p>
          <w:p w:rsidR="00EC7457" w:rsidRDefault="00EC7457" w:rsidP="00EC7457">
            <w:pPr>
              <w:pStyle w:val="NWCBody"/>
              <w:numPr>
                <w:ilvl w:val="0"/>
                <w:numId w:val="33"/>
              </w:numPr>
              <w:jc w:val="both"/>
            </w:pPr>
            <w:r>
              <w:t>We shall do all we can to resolve the situation as speedily as possible.</w:t>
            </w:r>
          </w:p>
          <w:p w:rsidR="00EC7457" w:rsidRDefault="00EC7457" w:rsidP="00EC7457">
            <w:pPr>
              <w:pStyle w:val="NWCBody"/>
              <w:numPr>
                <w:ilvl w:val="0"/>
                <w:numId w:val="33"/>
              </w:numPr>
              <w:jc w:val="both"/>
            </w:pPr>
            <w:r>
              <w:t>Any user making a complaint has the right to be represented and supported throughout the process if they so wish.</w:t>
            </w:r>
          </w:p>
        </w:tc>
      </w:tr>
      <w:tr w:rsidR="006B67C4" w:rsidRPr="00FB1D7E" w:rsidTr="0049571D">
        <w:trPr>
          <w:trHeight w:val="340"/>
        </w:trPr>
        <w:tc>
          <w:tcPr>
            <w:tcW w:w="10490" w:type="dxa"/>
            <w:shd w:val="clear" w:color="auto" w:fill="E5DFEC"/>
          </w:tcPr>
          <w:p w:rsidR="006B67C4" w:rsidRDefault="00EC7457" w:rsidP="0049571D">
            <w:pPr>
              <w:pStyle w:val="NWCSubheading"/>
            </w:pPr>
            <w:r>
              <w:t>Stage 1</w:t>
            </w:r>
          </w:p>
        </w:tc>
      </w:tr>
      <w:tr w:rsidR="006B67C4" w:rsidRPr="00FB1D7E" w:rsidTr="006B67C4">
        <w:tc>
          <w:tcPr>
            <w:tcW w:w="10490" w:type="dxa"/>
          </w:tcPr>
          <w:p w:rsidR="006B67C4" w:rsidRPr="00FB1D7E" w:rsidRDefault="00EC7457" w:rsidP="00B36BA7">
            <w:pPr>
              <w:pStyle w:val="NWCBody"/>
              <w:jc w:val="both"/>
            </w:pPr>
            <w:r w:rsidRPr="00EC7457">
              <w:t>Anyone wishing to make a complaint is encouraged in the first place, to do so informally and directly with the member of staff concerned. Every effort will be made to resolve the issue at this stage. If you are still dissatisfied with the response or if you feel this stage is not appropriate, or where the complaint is of a particularly serious nature requiring a formal response, the procedure at stage 2 should be followed.</w:t>
            </w:r>
          </w:p>
        </w:tc>
      </w:tr>
      <w:tr w:rsidR="00EC7457" w:rsidRPr="00FB1D7E" w:rsidTr="006905DF">
        <w:trPr>
          <w:trHeight w:val="340"/>
        </w:trPr>
        <w:tc>
          <w:tcPr>
            <w:tcW w:w="10490" w:type="dxa"/>
            <w:shd w:val="clear" w:color="auto" w:fill="E5DFEC"/>
          </w:tcPr>
          <w:p w:rsidR="00EC7457" w:rsidRDefault="00EC7457" w:rsidP="006905DF">
            <w:pPr>
              <w:pStyle w:val="NWCSubheading"/>
            </w:pPr>
            <w:r>
              <w:t>Stage 2</w:t>
            </w:r>
          </w:p>
        </w:tc>
      </w:tr>
      <w:tr w:rsidR="00EC7457" w:rsidRPr="00FB1D7E" w:rsidTr="006905DF">
        <w:tc>
          <w:tcPr>
            <w:tcW w:w="10490" w:type="dxa"/>
          </w:tcPr>
          <w:p w:rsidR="00EC7457" w:rsidRPr="00FB1D7E" w:rsidRDefault="00EC7457" w:rsidP="006905DF">
            <w:pPr>
              <w:pStyle w:val="NWCBody"/>
              <w:jc w:val="both"/>
            </w:pPr>
            <w:r w:rsidRPr="00EC7457">
              <w:t>A formal complaint, in writing should be addressed in the first place to the CEO, who will discuss the matter with the relevant member of staff for a reply. If the matter is not resolved to your satisfaction, or if you feel this stage is also not appropriate, the procedure at stage three should be followed and you will be given a copy of the complaints procedure for your guidance.</w:t>
            </w:r>
          </w:p>
        </w:tc>
      </w:tr>
      <w:tr w:rsidR="00EC7457" w:rsidRPr="00FB1D7E" w:rsidTr="006905DF">
        <w:trPr>
          <w:trHeight w:val="340"/>
        </w:trPr>
        <w:tc>
          <w:tcPr>
            <w:tcW w:w="10490" w:type="dxa"/>
            <w:shd w:val="clear" w:color="auto" w:fill="E5DFEC"/>
          </w:tcPr>
          <w:p w:rsidR="00EC7457" w:rsidRDefault="00EC7457" w:rsidP="006905DF">
            <w:pPr>
              <w:pStyle w:val="NWCSubheading"/>
            </w:pPr>
            <w:r>
              <w:t>Stage 3</w:t>
            </w:r>
          </w:p>
        </w:tc>
      </w:tr>
      <w:tr w:rsidR="00EC7457" w:rsidRPr="00FB1D7E" w:rsidTr="006905DF">
        <w:tc>
          <w:tcPr>
            <w:tcW w:w="10490" w:type="dxa"/>
          </w:tcPr>
          <w:p w:rsidR="00EC7457" w:rsidRPr="00FB1D7E" w:rsidRDefault="00EC7457" w:rsidP="006905DF">
            <w:pPr>
              <w:pStyle w:val="NWCBody"/>
              <w:jc w:val="both"/>
            </w:pPr>
            <w:r w:rsidRPr="00EC7457">
              <w:t>The details of the complaint and/or your reasons for dissatisfaction should be addressed in writing to the Chairperson. Following any necessary investigation the Chairperson will reply within 21 days of receipt. If the matter is still not resolved to your satisfaction the final appeal procedure at stage four should be followed.</w:t>
            </w:r>
          </w:p>
        </w:tc>
      </w:tr>
      <w:tr w:rsidR="00EC7457" w:rsidRPr="00FB1D7E" w:rsidTr="006905DF">
        <w:trPr>
          <w:trHeight w:val="340"/>
        </w:trPr>
        <w:tc>
          <w:tcPr>
            <w:tcW w:w="10490" w:type="dxa"/>
            <w:shd w:val="clear" w:color="auto" w:fill="E5DFEC"/>
          </w:tcPr>
          <w:p w:rsidR="00EC7457" w:rsidRDefault="00EC7457" w:rsidP="006905DF">
            <w:pPr>
              <w:pStyle w:val="NWCSubheading"/>
            </w:pPr>
            <w:r>
              <w:t>Stage 4</w:t>
            </w:r>
          </w:p>
        </w:tc>
      </w:tr>
      <w:tr w:rsidR="00EC7457" w:rsidRPr="00FB1D7E" w:rsidTr="00EC7457">
        <w:tc>
          <w:tcPr>
            <w:tcW w:w="10490" w:type="dxa"/>
            <w:tcBorders>
              <w:bottom w:val="nil"/>
            </w:tcBorders>
          </w:tcPr>
          <w:p w:rsidR="00EC7457" w:rsidRPr="00FB1D7E" w:rsidRDefault="00EC7457" w:rsidP="006905DF">
            <w:pPr>
              <w:pStyle w:val="NWCBody"/>
              <w:jc w:val="both"/>
            </w:pPr>
            <w:r w:rsidRPr="00EC7457">
              <w:t>At your request the complaint will be referred by the Chairperson to next meeting of the Board of Trustees, who will consider the matter and reply with their decision to you. The decision of the full Board shall be final and will be given to you, in writing, within seven days of their meeting.</w:t>
            </w:r>
          </w:p>
        </w:tc>
      </w:tr>
      <w:tr w:rsidR="00EC7457" w:rsidRPr="00FB1D7E" w:rsidTr="00EC7457">
        <w:tc>
          <w:tcPr>
            <w:tcW w:w="10490" w:type="dxa"/>
            <w:tcBorders>
              <w:top w:val="nil"/>
              <w:bottom w:val="nil"/>
            </w:tcBorders>
          </w:tcPr>
          <w:p w:rsidR="00EC7457" w:rsidRDefault="00EC7457" w:rsidP="00EC7457">
            <w:pPr>
              <w:pStyle w:val="NWCBody"/>
              <w:jc w:val="both"/>
            </w:pPr>
          </w:p>
        </w:tc>
      </w:tr>
      <w:tr w:rsidR="006B67C4" w:rsidRPr="00FB1D7E" w:rsidTr="00EC7457">
        <w:tc>
          <w:tcPr>
            <w:tcW w:w="10490" w:type="dxa"/>
            <w:tcBorders>
              <w:top w:val="nil"/>
            </w:tcBorders>
          </w:tcPr>
          <w:p w:rsidR="00EC7457" w:rsidRDefault="009A56CB" w:rsidP="00EC7457">
            <w:pPr>
              <w:pStyle w:val="NWCBody"/>
              <w:jc w:val="both"/>
            </w:pPr>
            <w:r>
              <w:t xml:space="preserve"> </w:t>
            </w:r>
            <w:r w:rsidR="00EC7457">
              <w:t>At all stages of this process you may be assisted and accompanied by another person. The time limit may be altered by mutual agreement.</w:t>
            </w:r>
          </w:p>
          <w:p w:rsidR="006B67C4" w:rsidRPr="005F6BB6" w:rsidRDefault="00EC7457" w:rsidP="00EC7457">
            <w:pPr>
              <w:pStyle w:val="NWCBody"/>
              <w:jc w:val="both"/>
              <w:rPr>
                <w:b/>
              </w:rPr>
            </w:pPr>
            <w:r>
              <w:t>In the unavoidable absence of the Chairperson, the complaints procedure can be operated at stages three and four by an Acting Chairperson nominated by the Board of Trustees.</w:t>
            </w:r>
          </w:p>
        </w:tc>
        <w:bookmarkStart w:id="0" w:name="_GoBack"/>
        <w:bookmarkEnd w:id="0"/>
      </w:tr>
    </w:tbl>
    <w:p w:rsidR="0026107D" w:rsidRPr="00FB1D7E" w:rsidRDefault="00590764" w:rsidP="00FA4A2E">
      <w:pPr>
        <w:rPr>
          <w:rFonts w:ascii="Calibri" w:hAnsi="Calibri"/>
        </w:rPr>
      </w:pPr>
      <w:r>
        <w:rPr>
          <w:rFonts w:ascii="Calibri" w:hAnsi="Calibri"/>
          <w:noProof/>
          <w:lang w:eastAsia="en-GB"/>
        </w:rPr>
        <w:drawing>
          <wp:anchor distT="0" distB="0" distL="114300" distR="114300" simplePos="0" relativeHeight="251660288" behindDoc="1" locked="0" layoutInCell="1" allowOverlap="1" wp14:anchorId="3B77E22D" wp14:editId="012CA946">
            <wp:simplePos x="0" y="0"/>
            <wp:positionH relativeFrom="margin">
              <wp:posOffset>3011170</wp:posOffset>
            </wp:positionH>
            <wp:positionV relativeFrom="margin">
              <wp:posOffset>8834442</wp:posOffset>
            </wp:positionV>
            <wp:extent cx="761626" cy="900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V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626" cy="900000"/>
                    </a:xfrm>
                    <a:prstGeom prst="rect">
                      <a:avLst/>
                    </a:prstGeom>
                  </pic:spPr>
                </pic:pic>
              </a:graphicData>
            </a:graphic>
            <wp14:sizeRelH relativeFrom="page">
              <wp14:pctWidth>0</wp14:pctWidth>
            </wp14:sizeRelH>
            <wp14:sizeRelV relativeFrom="page">
              <wp14:pctHeight>0</wp14:pctHeight>
            </wp14:sizeRelV>
          </wp:anchor>
        </w:drawing>
      </w:r>
    </w:p>
    <w:sectPr w:rsidR="0026107D" w:rsidRPr="00FB1D7E" w:rsidSect="00EC7457">
      <w:footerReference w:type="defaul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57" w:rsidRDefault="00EC7457" w:rsidP="005E651B">
      <w:pPr>
        <w:spacing w:after="0" w:line="240" w:lineRule="auto"/>
      </w:pPr>
      <w:r>
        <w:separator/>
      </w:r>
    </w:p>
  </w:endnote>
  <w:endnote w:type="continuationSeparator" w:id="0">
    <w:p w:rsidR="00EC7457" w:rsidRDefault="00EC7457" w:rsidP="005E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91769"/>
      <w:docPartObj>
        <w:docPartGallery w:val="Page Numbers (Bottom of Page)"/>
        <w:docPartUnique/>
      </w:docPartObj>
    </w:sdtPr>
    <w:sdtEndPr>
      <w:rPr>
        <w:noProof/>
        <w:sz w:val="16"/>
        <w:szCs w:val="16"/>
      </w:rPr>
    </w:sdtEndPr>
    <w:sdtContent>
      <w:p w:rsidR="00EC7457" w:rsidRDefault="00EC7457">
        <w:pPr>
          <w:pStyle w:val="Footer"/>
          <w:rPr>
            <w:noProof/>
            <w:sz w:val="16"/>
            <w:szCs w:val="16"/>
          </w:rPr>
        </w:pPr>
        <w:r w:rsidRPr="00EC7457">
          <w:rPr>
            <w:sz w:val="16"/>
            <w:szCs w:val="16"/>
          </w:rPr>
          <w:fldChar w:fldCharType="begin"/>
        </w:r>
        <w:r w:rsidRPr="00EC7457">
          <w:rPr>
            <w:sz w:val="16"/>
            <w:szCs w:val="16"/>
          </w:rPr>
          <w:instrText xml:space="preserve"> FILENAME  \p  \* MERGEFORMAT </w:instrText>
        </w:r>
        <w:r w:rsidRPr="00EC7457">
          <w:rPr>
            <w:sz w:val="16"/>
            <w:szCs w:val="16"/>
          </w:rPr>
          <w:fldChar w:fldCharType="separate"/>
        </w:r>
        <w:r w:rsidRPr="00EC7457">
          <w:rPr>
            <w:noProof/>
            <w:sz w:val="16"/>
            <w:szCs w:val="16"/>
          </w:rPr>
          <w:t>Document1</w:t>
        </w:r>
        <w:r w:rsidRPr="00EC7457">
          <w:rPr>
            <w:sz w:val="16"/>
            <w:szCs w:val="16"/>
          </w:rPr>
          <w:fldChar w:fldCharType="end"/>
        </w:r>
        <w:r>
          <w:tab/>
        </w:r>
        <w:r>
          <w:tab/>
        </w:r>
        <w:r>
          <w:tab/>
        </w:r>
        <w:r>
          <w:tab/>
        </w:r>
        <w:r w:rsidR="00BE3AFB" w:rsidRPr="00EC7457">
          <w:rPr>
            <w:sz w:val="16"/>
            <w:szCs w:val="16"/>
          </w:rPr>
          <w:fldChar w:fldCharType="begin"/>
        </w:r>
        <w:r w:rsidR="00BE3AFB" w:rsidRPr="00EC7457">
          <w:rPr>
            <w:sz w:val="16"/>
            <w:szCs w:val="16"/>
          </w:rPr>
          <w:instrText xml:space="preserve"> PAGE   \* MERGEFORMAT </w:instrText>
        </w:r>
        <w:r w:rsidR="00BE3AFB" w:rsidRPr="00EC7457">
          <w:rPr>
            <w:sz w:val="16"/>
            <w:szCs w:val="16"/>
          </w:rPr>
          <w:fldChar w:fldCharType="separate"/>
        </w:r>
        <w:r w:rsidR="00590764">
          <w:rPr>
            <w:noProof/>
            <w:sz w:val="16"/>
            <w:szCs w:val="16"/>
          </w:rPr>
          <w:t>1</w:t>
        </w:r>
        <w:r w:rsidR="00BE3AFB" w:rsidRPr="00EC7457">
          <w:rPr>
            <w:noProof/>
            <w:sz w:val="16"/>
            <w:szCs w:val="16"/>
          </w:rPr>
          <w:fldChar w:fldCharType="end"/>
        </w:r>
      </w:p>
      <w:p w:rsidR="00EC7457" w:rsidRDefault="00EC7457">
        <w:pPr>
          <w:pStyle w:val="Footer"/>
          <w:rPr>
            <w:noProof/>
            <w:sz w:val="16"/>
            <w:szCs w:val="16"/>
          </w:rPr>
        </w:pPr>
        <w:r>
          <w:rPr>
            <w:noProof/>
            <w:sz w:val="16"/>
            <w:szCs w:val="16"/>
          </w:rPr>
          <w:t>Reviewd: December 2015</w:t>
        </w:r>
      </w:p>
      <w:p w:rsidR="005E651B" w:rsidRPr="005E651B" w:rsidRDefault="00EC7457">
        <w:pPr>
          <w:pStyle w:val="Footer"/>
          <w:rPr>
            <w:noProof/>
            <w:sz w:val="16"/>
            <w:szCs w:val="16"/>
          </w:rPr>
        </w:pPr>
        <w:r>
          <w:rPr>
            <w:noProof/>
            <w:sz w:val="16"/>
            <w:szCs w:val="16"/>
          </w:rPr>
          <w:t>Review due: April 2016</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AB" w:rsidRDefault="0026107D">
    <w:pPr>
      <w:pStyle w:val="Footer"/>
    </w:pPr>
    <w:r>
      <w:rPr>
        <w:noProof/>
      </w:rPr>
      <w:fldChar w:fldCharType="begin"/>
    </w:r>
    <w:r>
      <w:rPr>
        <w:noProof/>
      </w:rPr>
      <w:instrText xml:space="preserve"> FILENAME  \p  \* MERGEFORMAT </w:instrText>
    </w:r>
    <w:r>
      <w:rPr>
        <w:noProof/>
      </w:rPr>
      <w:fldChar w:fldCharType="separate"/>
    </w:r>
    <w:r w:rsidR="00EC7457">
      <w:rPr>
        <w:noProof/>
      </w:rPr>
      <w:t>Document1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57" w:rsidRDefault="00EC7457" w:rsidP="005E651B">
      <w:pPr>
        <w:spacing w:after="0" w:line="240" w:lineRule="auto"/>
      </w:pPr>
      <w:r>
        <w:separator/>
      </w:r>
    </w:p>
  </w:footnote>
  <w:footnote w:type="continuationSeparator" w:id="0">
    <w:p w:rsidR="00EC7457" w:rsidRDefault="00EC7457" w:rsidP="005E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EF2"/>
    <w:multiLevelType w:val="hybridMultilevel"/>
    <w:tmpl w:val="37D8C244"/>
    <w:lvl w:ilvl="0" w:tplc="C23625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71FF0"/>
    <w:multiLevelType w:val="hybridMultilevel"/>
    <w:tmpl w:val="0376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73512"/>
    <w:multiLevelType w:val="hybridMultilevel"/>
    <w:tmpl w:val="69C2AC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D4429"/>
    <w:multiLevelType w:val="hybridMultilevel"/>
    <w:tmpl w:val="24D0C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394456"/>
    <w:multiLevelType w:val="multilevel"/>
    <w:tmpl w:val="B7E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91391"/>
    <w:multiLevelType w:val="hybridMultilevel"/>
    <w:tmpl w:val="BD947F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61F50"/>
    <w:multiLevelType w:val="hybridMultilevel"/>
    <w:tmpl w:val="1DD6E4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DA305E"/>
    <w:multiLevelType w:val="hybridMultilevel"/>
    <w:tmpl w:val="66CC05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D1D91"/>
    <w:multiLevelType w:val="hybridMultilevel"/>
    <w:tmpl w:val="F7C24E22"/>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E5345"/>
    <w:multiLevelType w:val="hybridMultilevel"/>
    <w:tmpl w:val="9E6C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016FB"/>
    <w:multiLevelType w:val="hybridMultilevel"/>
    <w:tmpl w:val="37D8C244"/>
    <w:lvl w:ilvl="0" w:tplc="C23625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B7C23"/>
    <w:multiLevelType w:val="hybridMultilevel"/>
    <w:tmpl w:val="6BE226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3662E"/>
    <w:multiLevelType w:val="hybridMultilevel"/>
    <w:tmpl w:val="9960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808AC"/>
    <w:multiLevelType w:val="hybridMultilevel"/>
    <w:tmpl w:val="37D8C244"/>
    <w:lvl w:ilvl="0" w:tplc="C23625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A3C11"/>
    <w:multiLevelType w:val="hybridMultilevel"/>
    <w:tmpl w:val="4400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73476"/>
    <w:multiLevelType w:val="hybridMultilevel"/>
    <w:tmpl w:val="C4D8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84ACB"/>
    <w:multiLevelType w:val="hybridMultilevel"/>
    <w:tmpl w:val="2AC4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80BFA"/>
    <w:multiLevelType w:val="hybridMultilevel"/>
    <w:tmpl w:val="37D8C244"/>
    <w:lvl w:ilvl="0" w:tplc="C23625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027985"/>
    <w:multiLevelType w:val="hybridMultilevel"/>
    <w:tmpl w:val="70FC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1550B"/>
    <w:multiLevelType w:val="hybridMultilevel"/>
    <w:tmpl w:val="B6C6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102D2"/>
    <w:multiLevelType w:val="hybridMultilevel"/>
    <w:tmpl w:val="37D8C244"/>
    <w:lvl w:ilvl="0" w:tplc="C23625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DB0F5C"/>
    <w:multiLevelType w:val="hybridMultilevel"/>
    <w:tmpl w:val="DFFA27EC"/>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239A7"/>
    <w:multiLevelType w:val="hybridMultilevel"/>
    <w:tmpl w:val="04B2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06FF1"/>
    <w:multiLevelType w:val="hybridMultilevel"/>
    <w:tmpl w:val="4E7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F4B1D"/>
    <w:multiLevelType w:val="hybridMultilevel"/>
    <w:tmpl w:val="CF98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D6AFB"/>
    <w:multiLevelType w:val="hybridMultilevel"/>
    <w:tmpl w:val="FAC0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3474E"/>
    <w:multiLevelType w:val="hybridMultilevel"/>
    <w:tmpl w:val="37D8C244"/>
    <w:lvl w:ilvl="0" w:tplc="C23625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5A13F5"/>
    <w:multiLevelType w:val="hybridMultilevel"/>
    <w:tmpl w:val="39EA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04747"/>
    <w:multiLevelType w:val="hybridMultilevel"/>
    <w:tmpl w:val="1EC255BC"/>
    <w:lvl w:ilvl="0" w:tplc="34A055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B7FC1"/>
    <w:multiLevelType w:val="hybridMultilevel"/>
    <w:tmpl w:val="CAD6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F4000"/>
    <w:multiLevelType w:val="hybridMultilevel"/>
    <w:tmpl w:val="E832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FB428A"/>
    <w:multiLevelType w:val="hybridMultilevel"/>
    <w:tmpl w:val="C656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442BC0"/>
    <w:multiLevelType w:val="hybridMultilevel"/>
    <w:tmpl w:val="4652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1"/>
  </w:num>
  <w:num w:numId="4">
    <w:abstractNumId w:val="8"/>
  </w:num>
  <w:num w:numId="5">
    <w:abstractNumId w:val="28"/>
  </w:num>
  <w:num w:numId="6">
    <w:abstractNumId w:val="30"/>
  </w:num>
  <w:num w:numId="7">
    <w:abstractNumId w:val="19"/>
  </w:num>
  <w:num w:numId="8">
    <w:abstractNumId w:val="29"/>
  </w:num>
  <w:num w:numId="9">
    <w:abstractNumId w:val="9"/>
  </w:num>
  <w:num w:numId="10">
    <w:abstractNumId w:val="12"/>
  </w:num>
  <w:num w:numId="11">
    <w:abstractNumId w:val="32"/>
  </w:num>
  <w:num w:numId="12">
    <w:abstractNumId w:val="22"/>
  </w:num>
  <w:num w:numId="13">
    <w:abstractNumId w:val="27"/>
  </w:num>
  <w:num w:numId="14">
    <w:abstractNumId w:val="1"/>
  </w:num>
  <w:num w:numId="15">
    <w:abstractNumId w:val="0"/>
  </w:num>
  <w:num w:numId="16">
    <w:abstractNumId w:val="31"/>
  </w:num>
  <w:num w:numId="17">
    <w:abstractNumId w:val="20"/>
  </w:num>
  <w:num w:numId="18">
    <w:abstractNumId w:val="18"/>
  </w:num>
  <w:num w:numId="19">
    <w:abstractNumId w:val="13"/>
  </w:num>
  <w:num w:numId="20">
    <w:abstractNumId w:val="14"/>
  </w:num>
  <w:num w:numId="21">
    <w:abstractNumId w:val="15"/>
  </w:num>
  <w:num w:numId="22">
    <w:abstractNumId w:val="26"/>
  </w:num>
  <w:num w:numId="23">
    <w:abstractNumId w:val="24"/>
  </w:num>
  <w:num w:numId="24">
    <w:abstractNumId w:val="17"/>
  </w:num>
  <w:num w:numId="25">
    <w:abstractNumId w:val="10"/>
  </w:num>
  <w:num w:numId="26">
    <w:abstractNumId w:val="11"/>
  </w:num>
  <w:num w:numId="27">
    <w:abstractNumId w:val="25"/>
  </w:num>
  <w:num w:numId="28">
    <w:abstractNumId w:val="7"/>
  </w:num>
  <w:num w:numId="29">
    <w:abstractNumId w:val="5"/>
  </w:num>
  <w:num w:numId="30">
    <w:abstractNumId w:val="2"/>
  </w:num>
  <w:num w:numId="31">
    <w:abstractNumId w:val="16"/>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57"/>
    <w:rsid w:val="00015CFE"/>
    <w:rsid w:val="00095C16"/>
    <w:rsid w:val="000B4CA5"/>
    <w:rsid w:val="000F5AF7"/>
    <w:rsid w:val="001812B2"/>
    <w:rsid w:val="0026107D"/>
    <w:rsid w:val="002A0BB0"/>
    <w:rsid w:val="002A10AA"/>
    <w:rsid w:val="002D6A99"/>
    <w:rsid w:val="00307A48"/>
    <w:rsid w:val="003128AB"/>
    <w:rsid w:val="003B7729"/>
    <w:rsid w:val="003C4A62"/>
    <w:rsid w:val="003D1A88"/>
    <w:rsid w:val="00456045"/>
    <w:rsid w:val="004A1C2A"/>
    <w:rsid w:val="004D5E36"/>
    <w:rsid w:val="0054129D"/>
    <w:rsid w:val="00590764"/>
    <w:rsid w:val="005C62D1"/>
    <w:rsid w:val="005E651B"/>
    <w:rsid w:val="005F6BB6"/>
    <w:rsid w:val="00697056"/>
    <w:rsid w:val="006B67C4"/>
    <w:rsid w:val="006D693E"/>
    <w:rsid w:val="007702BD"/>
    <w:rsid w:val="007D5F8A"/>
    <w:rsid w:val="007D653C"/>
    <w:rsid w:val="007E66C4"/>
    <w:rsid w:val="007E7529"/>
    <w:rsid w:val="008225C7"/>
    <w:rsid w:val="009572D5"/>
    <w:rsid w:val="009A56CB"/>
    <w:rsid w:val="009E2D7D"/>
    <w:rsid w:val="009F5A99"/>
    <w:rsid w:val="00A25625"/>
    <w:rsid w:val="00A56A5A"/>
    <w:rsid w:val="00A90A3D"/>
    <w:rsid w:val="00AC31E2"/>
    <w:rsid w:val="00B36BA7"/>
    <w:rsid w:val="00B429AF"/>
    <w:rsid w:val="00B60BF2"/>
    <w:rsid w:val="00B63F41"/>
    <w:rsid w:val="00BE3AFB"/>
    <w:rsid w:val="00C00C40"/>
    <w:rsid w:val="00C6034F"/>
    <w:rsid w:val="00CD7C77"/>
    <w:rsid w:val="00CE5319"/>
    <w:rsid w:val="00E95B00"/>
    <w:rsid w:val="00EC7457"/>
    <w:rsid w:val="00F045B0"/>
    <w:rsid w:val="00F5259C"/>
    <w:rsid w:val="00FA215D"/>
    <w:rsid w:val="00FA4A2E"/>
    <w:rsid w:val="00FB1D7E"/>
    <w:rsid w:val="00FB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47FD71-508B-4872-A8A6-36319B8B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53C"/>
    <w:pPr>
      <w:ind w:left="720"/>
      <w:contextualSpacing/>
    </w:pPr>
  </w:style>
  <w:style w:type="paragraph" w:styleId="Header">
    <w:name w:val="header"/>
    <w:basedOn w:val="Normal"/>
    <w:link w:val="HeaderChar"/>
    <w:uiPriority w:val="99"/>
    <w:unhideWhenUsed/>
    <w:rsid w:val="005E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1B"/>
  </w:style>
  <w:style w:type="paragraph" w:styleId="Footer">
    <w:name w:val="footer"/>
    <w:basedOn w:val="Normal"/>
    <w:link w:val="FooterChar"/>
    <w:uiPriority w:val="99"/>
    <w:unhideWhenUsed/>
    <w:rsid w:val="005E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1B"/>
  </w:style>
  <w:style w:type="paragraph" w:styleId="BalloonText">
    <w:name w:val="Balloon Text"/>
    <w:basedOn w:val="Normal"/>
    <w:link w:val="BalloonTextChar"/>
    <w:uiPriority w:val="99"/>
    <w:semiHidden/>
    <w:unhideWhenUsed/>
    <w:rsid w:val="004D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36"/>
    <w:rPr>
      <w:rFonts w:ascii="Segoe UI" w:hAnsi="Segoe UI" w:cs="Segoe UI"/>
      <w:sz w:val="18"/>
      <w:szCs w:val="18"/>
    </w:rPr>
  </w:style>
  <w:style w:type="paragraph" w:customStyle="1" w:styleId="NWCHeading">
    <w:name w:val="NWC Heading"/>
    <w:basedOn w:val="Normal"/>
    <w:link w:val="NWCHeadingChar"/>
    <w:qFormat/>
    <w:rsid w:val="00C00C40"/>
    <w:pPr>
      <w:spacing w:before="120" w:after="120" w:line="240" w:lineRule="auto"/>
    </w:pPr>
    <w:rPr>
      <w:rFonts w:ascii="Calibri" w:hAnsi="Calibri"/>
      <w:b/>
      <w:sz w:val="36"/>
      <w:szCs w:val="36"/>
    </w:rPr>
  </w:style>
  <w:style w:type="paragraph" w:customStyle="1" w:styleId="NWCSubheading">
    <w:name w:val="NWC Subheading"/>
    <w:basedOn w:val="Normal"/>
    <w:link w:val="NWCSubheadingChar"/>
    <w:qFormat/>
    <w:rsid w:val="00C00C40"/>
    <w:pPr>
      <w:spacing w:before="120" w:after="120" w:line="240" w:lineRule="auto"/>
    </w:pPr>
    <w:rPr>
      <w:rFonts w:ascii="Calibri" w:hAnsi="Calibri"/>
      <w:b/>
      <w:sz w:val="24"/>
      <w:szCs w:val="24"/>
    </w:rPr>
  </w:style>
  <w:style w:type="character" w:customStyle="1" w:styleId="NWCHeadingChar">
    <w:name w:val="NWC Heading Char"/>
    <w:basedOn w:val="DefaultParagraphFont"/>
    <w:link w:val="NWCHeading"/>
    <w:rsid w:val="00C00C40"/>
    <w:rPr>
      <w:rFonts w:ascii="Calibri" w:hAnsi="Calibri"/>
      <w:b/>
      <w:sz w:val="36"/>
      <w:szCs w:val="36"/>
    </w:rPr>
  </w:style>
  <w:style w:type="paragraph" w:customStyle="1" w:styleId="NWCBody">
    <w:name w:val="NWC Body"/>
    <w:basedOn w:val="Normal"/>
    <w:link w:val="NWCBodyChar"/>
    <w:qFormat/>
    <w:rsid w:val="00C00C40"/>
    <w:pPr>
      <w:spacing w:before="120" w:after="120" w:line="240" w:lineRule="auto"/>
    </w:pPr>
    <w:rPr>
      <w:rFonts w:ascii="Calibri" w:hAnsi="Calibri"/>
    </w:rPr>
  </w:style>
  <w:style w:type="character" w:customStyle="1" w:styleId="NWCSubheadingChar">
    <w:name w:val="NWC Subheading Char"/>
    <w:basedOn w:val="DefaultParagraphFont"/>
    <w:link w:val="NWCSubheading"/>
    <w:rsid w:val="00C00C40"/>
    <w:rPr>
      <w:rFonts w:ascii="Calibri" w:hAnsi="Calibri"/>
      <w:b/>
      <w:sz w:val="24"/>
      <w:szCs w:val="24"/>
    </w:rPr>
  </w:style>
  <w:style w:type="character" w:customStyle="1" w:styleId="NWCBodyChar">
    <w:name w:val="NWC Body Char"/>
    <w:basedOn w:val="DefaultParagraphFont"/>
    <w:link w:val="NWCBody"/>
    <w:rsid w:val="00C00C4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NWC%20Policies%20and%20Procedur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09F8-9E86-40C4-8219-31CA13DA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template</Template>
  <TotalTime>7</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tedproject</dc:creator>
  <cp:keywords/>
  <dc:description/>
  <cp:lastModifiedBy>tedproject</cp:lastModifiedBy>
  <cp:revision>2</cp:revision>
  <cp:lastPrinted>2018-08-20T11:57:00Z</cp:lastPrinted>
  <dcterms:created xsi:type="dcterms:W3CDTF">2019-01-31T11:53:00Z</dcterms:created>
  <dcterms:modified xsi:type="dcterms:W3CDTF">2019-01-31T12:50:00Z</dcterms:modified>
</cp:coreProperties>
</file>